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0E3E" w:rsidRPr="00140E3E" w:rsidRDefault="00140E3E" w:rsidP="00140E3E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color w:val="2E74B5" w:themeColor="accent1" w:themeShade="BF"/>
          <w:sz w:val="30"/>
          <w:szCs w:val="26"/>
          <w:bdr w:val="none" w:sz="0" w:space="0" w:color="auto" w:frame="1"/>
        </w:rPr>
      </w:pPr>
      <w:r w:rsidRPr="00140E3E">
        <w:rPr>
          <w:rFonts w:ascii="inherit" w:eastAsia="Times New Roman" w:hAnsi="inherit" w:cs="Times New Roman"/>
          <w:b/>
          <w:bCs/>
          <w:color w:val="2E74B5" w:themeColor="accent1" w:themeShade="BF"/>
          <w:sz w:val="30"/>
          <w:szCs w:val="26"/>
          <w:bdr w:val="none" w:sz="0" w:space="0" w:color="auto" w:frame="1"/>
        </w:rPr>
        <w:t>Georgia Rural AP STEM Initiative</w:t>
      </w:r>
      <w:r w:rsidR="007567DB">
        <w:rPr>
          <w:rFonts w:ascii="inherit" w:eastAsia="Times New Roman" w:hAnsi="inherit" w:cs="Times New Roman"/>
          <w:b/>
          <w:bCs/>
          <w:color w:val="2E74B5" w:themeColor="accent1" w:themeShade="BF"/>
          <w:sz w:val="30"/>
          <w:szCs w:val="26"/>
          <w:bdr w:val="none" w:sz="0" w:space="0" w:color="auto" w:frame="1"/>
        </w:rPr>
        <w:t xml:space="preserve"> – Round 2</w:t>
      </w:r>
    </w:p>
    <w:p w:rsidR="00BA0D64" w:rsidRDefault="00BA0D64" w:rsidP="001F6DCB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color w:val="B01116"/>
          <w:sz w:val="26"/>
          <w:szCs w:val="26"/>
          <w:bdr w:val="none" w:sz="0" w:space="0" w:color="auto" w:frame="1"/>
        </w:rPr>
      </w:pPr>
    </w:p>
    <w:p w:rsidR="001F6DCB" w:rsidRDefault="00140E3E" w:rsidP="001F6DCB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Fonts w:ascii="inherit" w:eastAsia="Times New Roman" w:hAnsi="inherit" w:cs="Times New Roman"/>
          <w:b/>
          <w:bCs/>
          <w:color w:val="B01116"/>
          <w:sz w:val="26"/>
          <w:szCs w:val="26"/>
          <w:bdr w:val="none" w:sz="0" w:space="0" w:color="auto" w:frame="1"/>
        </w:rPr>
      </w:pPr>
      <w:r>
        <w:rPr>
          <w:rFonts w:ascii="inherit" w:eastAsia="Times New Roman" w:hAnsi="inherit" w:cs="Times New Roman"/>
          <w:b/>
          <w:bCs/>
          <w:color w:val="B01116"/>
          <w:sz w:val="26"/>
          <w:szCs w:val="26"/>
          <w:bdr w:val="none" w:sz="0" w:space="0" w:color="auto" w:frame="1"/>
        </w:rPr>
        <w:t>Eligibility</w:t>
      </w:r>
      <w:r w:rsidRPr="00140E3E">
        <w:rPr>
          <w:rFonts w:ascii="inherit" w:eastAsia="Times New Roman" w:hAnsi="inherit" w:cs="Times New Roman"/>
          <w:b/>
          <w:bCs/>
          <w:color w:val="B01116"/>
          <w:sz w:val="26"/>
          <w:szCs w:val="26"/>
          <w:bdr w:val="none" w:sz="0" w:space="0" w:color="auto" w:frame="1"/>
        </w:rPr>
        <w:t xml:space="preserve"> </w:t>
      </w:r>
      <w:r>
        <w:rPr>
          <w:rFonts w:ascii="inherit" w:eastAsia="Times New Roman" w:hAnsi="inherit" w:cs="Times New Roman"/>
          <w:b/>
          <w:bCs/>
          <w:color w:val="B01116"/>
          <w:sz w:val="26"/>
          <w:szCs w:val="26"/>
          <w:bdr w:val="none" w:sz="0" w:space="0" w:color="auto" w:frame="1"/>
        </w:rPr>
        <w:t>Criteria</w:t>
      </w:r>
    </w:p>
    <w:p w:rsidR="001F6DCB" w:rsidRPr="001F6DCB" w:rsidRDefault="001F6DCB" w:rsidP="001F6DCB">
      <w:pPr>
        <w:shd w:val="clear" w:color="auto" w:fill="FFFFFF"/>
        <w:spacing w:after="0" w:line="240" w:lineRule="atLeast"/>
        <w:jc w:val="center"/>
        <w:textAlignment w:val="baseline"/>
        <w:outlineLvl w:val="4"/>
        <w:rPr>
          <w:rStyle w:val="Strong"/>
          <w:rFonts w:ascii="inherit" w:eastAsia="Times New Roman" w:hAnsi="inherit" w:cs="Times New Roman"/>
          <w:color w:val="B01116"/>
          <w:sz w:val="26"/>
          <w:szCs w:val="26"/>
          <w:bdr w:val="none" w:sz="0" w:space="0" w:color="auto" w:frame="1"/>
        </w:rPr>
      </w:pPr>
    </w:p>
    <w:p w:rsidR="001F6DCB" w:rsidRPr="006E5C45" w:rsidRDefault="001F6DCB" w:rsidP="001F6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C45">
        <w:rPr>
          <w:rStyle w:val="Strong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High-Need</w:t>
      </w:r>
      <w:r w:rsidRPr="006E5C4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E5C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LEAs located counties </w:t>
      </w:r>
      <w:r w:rsidR="007567DB">
        <w:rPr>
          <w:rFonts w:ascii="Times New Roman" w:hAnsi="Times New Roman" w:cs="Times New Roman"/>
          <w:sz w:val="24"/>
          <w:szCs w:val="24"/>
          <w:shd w:val="clear" w:color="auto" w:fill="FFFFFF"/>
        </w:rPr>
        <w:t>designated as Tier 1 or Tier 2 based on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the Georgia Department of Community Affairs’ annual job tax credit tiers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are considered high-need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These counties represent the counties with </w:t>
      </w:r>
      <w:r w:rsidR="007567DB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unemployment rate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7567DB">
        <w:rPr>
          <w:rFonts w:ascii="Times New Roman" w:hAnsi="Times New Roman" w:cs="Times New Roman"/>
          <w:sz w:val="24"/>
          <w:szCs w:val="24"/>
          <w:shd w:val="clear" w:color="auto" w:fill="FFFFFF"/>
        </w:rPr>
        <w:t>low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 capita income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and </w:t>
      </w:r>
      <w:r w:rsidR="007567DB">
        <w:rPr>
          <w:rFonts w:ascii="Times New Roman" w:hAnsi="Times New Roman" w:cs="Times New Roman"/>
          <w:sz w:val="24"/>
          <w:szCs w:val="24"/>
          <w:shd w:val="clear" w:color="auto" w:fill="FFFFFF"/>
        </w:rPr>
        <w:t>high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percentage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s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of residents whose incomes are below the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state 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>poverty level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1F6DCB" w:rsidRPr="007D5206" w:rsidRDefault="001F6DCB" w:rsidP="001F6DCB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E5C45">
        <w:rPr>
          <w:rStyle w:val="Strong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  <w:shd w:val="clear" w:color="auto" w:fill="FFFFFF"/>
        </w:rPr>
        <w:t>Rural</w:t>
      </w:r>
      <w:r w:rsidRPr="006E5C45">
        <w:rPr>
          <w:rStyle w:val="Strong"/>
          <w:rFonts w:ascii="Times New Roman" w:hAnsi="Times New Roman" w:cs="Times New Roman"/>
          <w:sz w:val="24"/>
          <w:szCs w:val="24"/>
          <w:bdr w:val="none" w:sz="0" w:space="0" w:color="auto" w:frame="1"/>
          <w:shd w:val="clear" w:color="auto" w:fill="FFFFFF"/>
        </w:rPr>
        <w:t>:</w:t>
      </w:r>
      <w:r w:rsidRPr="006E5C45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> 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LEAs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are considered rural for the purposes of this grant if they serve fewer 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than </w:t>
      </w:r>
      <w:r w:rsidR="007567DB">
        <w:rPr>
          <w:rFonts w:ascii="Times New Roman" w:hAnsi="Times New Roman" w:cs="Times New Roman"/>
          <w:sz w:val="24"/>
          <w:szCs w:val="24"/>
          <w:shd w:val="clear" w:color="auto" w:fill="FFFFFF"/>
        </w:rPr>
        <w:t>30</w:t>
      </w:r>
      <w:r w:rsidRPr="006E5C4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students per square mile. These LEAs must spend proportionally more funds per pupil since they serve a more dispersed population and do not have the economies of scale of larger districts. </w:t>
      </w:r>
    </w:p>
    <w:p w:rsidR="00F4069D" w:rsidRPr="00BA0D64" w:rsidRDefault="001F6DCB" w:rsidP="00BA0D64">
      <w:pPr>
        <w:spacing w:line="360" w:lineRule="auto"/>
        <w:rPr>
          <w:rStyle w:val="IntenseEmphasis"/>
          <w:rFonts w:ascii="Times New Roman" w:hAnsi="Times New Roman" w:cs="Times New Roman"/>
          <w:b w:val="0"/>
          <w:bCs w:val="0"/>
          <w:i/>
          <w:caps w:val="0"/>
          <w:color w:val="auto"/>
          <w:spacing w:val="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**</w:t>
      </w:r>
      <w:r w:rsidRPr="006E5C45">
        <w:rPr>
          <w:rFonts w:ascii="Times New Roman" w:hAnsi="Times New Roman" w:cs="Times New Roman"/>
          <w:b/>
          <w:i/>
          <w:sz w:val="24"/>
          <w:szCs w:val="24"/>
          <w:u w:val="single"/>
        </w:rPr>
        <w:t>Note</w:t>
      </w:r>
      <w:r w:rsidRPr="006E5C45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Pr="006E5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The three State Schools are also eligible. In addition, state charter schools that are located in a Tier 1 </w:t>
      </w:r>
      <w:r w:rsidR="007567DB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or Tier 2 </w:t>
      </w:r>
      <w:r w:rsidRPr="006E5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County and have an attendance zone in which all LEAs are e</w:t>
      </w:r>
      <w:r w:rsidR="00BA0D64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ligible for the grant are also el</w:t>
      </w:r>
      <w:r w:rsidRPr="006E5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igible. Using these criteria, the LEAs on the map </w:t>
      </w:r>
      <w:r w:rsidR="00F4069D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and listed </w:t>
      </w:r>
      <w:r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below are</w:t>
      </w:r>
      <w:r w:rsidRPr="006E5C4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eligible.</w:t>
      </w:r>
    </w:p>
    <w:p w:rsidR="00722755" w:rsidRPr="00722755" w:rsidRDefault="001F6DCB" w:rsidP="00722755">
      <w:pPr>
        <w:spacing w:after="0" w:line="360" w:lineRule="auto"/>
        <w:jc w:val="center"/>
        <w:rPr>
          <w:rFonts w:ascii="Times New Roman" w:hAnsi="Times New Roman" w:cs="Times New Roman"/>
          <w:b/>
          <w:spacing w:val="10"/>
          <w:sz w:val="24"/>
          <w:szCs w:val="24"/>
          <w:shd w:val="clear" w:color="auto" w:fill="FFFFFF"/>
        </w:rPr>
      </w:pPr>
      <w:r w:rsidRPr="001F6DCB"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  <w:t xml:space="preserve">Georgia Rural AP STEM Initiative Eligibility Map </w:t>
      </w:r>
    </w:p>
    <w:p w:rsidR="00F4069D" w:rsidRDefault="006E55E6" w:rsidP="00722755">
      <w:pPr>
        <w:spacing w:after="0" w:line="360" w:lineRule="auto"/>
        <w:jc w:val="center"/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</w:pPr>
      <w:bookmarkStart w:id="0" w:name="_GoBack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3600" cy="345567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ural AP STEM Eligiblity Map Round 2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4556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  <w:r w:rsidR="00F4069D" w:rsidRPr="00722755">
        <w:rPr>
          <w:rFonts w:ascii="Times New Roman" w:hAnsi="Times New Roman" w:cs="Times New Roman"/>
          <w:sz w:val="24"/>
          <w:szCs w:val="24"/>
        </w:rPr>
        <w:br w:type="page"/>
      </w:r>
    </w:p>
    <w:p w:rsidR="00BA0D64" w:rsidRDefault="00BA0D64" w:rsidP="00F4069D">
      <w:pPr>
        <w:spacing w:after="0" w:line="360" w:lineRule="auto"/>
        <w:jc w:val="center"/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</w:pPr>
    </w:p>
    <w:p w:rsidR="00F4069D" w:rsidRDefault="00F4069D" w:rsidP="00F4069D">
      <w:pPr>
        <w:spacing w:after="0" w:line="360" w:lineRule="auto"/>
        <w:jc w:val="center"/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</w:pPr>
      <w:r w:rsidRPr="001F6DCB"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  <w:t xml:space="preserve">Georgia Rural AP </w:t>
      </w:r>
      <w:r>
        <w:rPr>
          <w:rStyle w:val="IntenseEmphasis"/>
          <w:rFonts w:ascii="Times New Roman" w:hAnsi="Times New Roman" w:cs="Times New Roman"/>
          <w:bCs w:val="0"/>
          <w:caps w:val="0"/>
          <w:color w:val="auto"/>
          <w:sz w:val="24"/>
          <w:szCs w:val="24"/>
          <w:shd w:val="clear" w:color="auto" w:fill="FFFFFF"/>
        </w:rPr>
        <w:t>STEM Initiative Eligibility List</w:t>
      </w:r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1907"/>
        <w:gridCol w:w="1907"/>
        <w:gridCol w:w="1671"/>
        <w:gridCol w:w="2430"/>
        <w:gridCol w:w="1620"/>
      </w:tblGrid>
      <w:tr w:rsidR="000972A3" w:rsidRPr="00A10C0A" w:rsidTr="00ED2EC5">
        <w:trPr>
          <w:trHeight w:val="602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Atkinson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Dodge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Jeff Davis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Quitman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Terrell County</w:t>
            </w:r>
          </w:p>
        </w:tc>
      </w:tr>
      <w:tr w:rsidR="000972A3" w:rsidRPr="00A10C0A" w:rsidTr="00ED2EC5">
        <w:trPr>
          <w:trHeight w:val="530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Baker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Dooly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Jefferson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Rabun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Thomaston-Upson County</w:t>
            </w:r>
          </w:p>
        </w:tc>
      </w:tr>
      <w:tr w:rsidR="000972A3" w:rsidRPr="00A10C0A" w:rsidTr="00ED2EC5">
        <w:trPr>
          <w:trHeight w:val="530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Ben Hill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Early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Jenkins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Randolph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Tift County</w:t>
            </w:r>
          </w:p>
        </w:tc>
      </w:tr>
      <w:tr w:rsidR="000972A3" w:rsidRPr="00A10C0A" w:rsidTr="00ED2EC5">
        <w:trPr>
          <w:trHeight w:val="530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Berrien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Echols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Johnson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Schley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Toombs County</w:t>
            </w:r>
          </w:p>
        </w:tc>
      </w:tr>
      <w:tr w:rsidR="000972A3" w:rsidRPr="00A10C0A" w:rsidTr="00ED2EC5">
        <w:trPr>
          <w:trHeight w:val="440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Bleckley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Elbert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Lamar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Screven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Towns County</w:t>
            </w:r>
          </w:p>
        </w:tc>
      </w:tr>
      <w:tr w:rsidR="000972A3" w:rsidRPr="00A10C0A" w:rsidTr="00ED2EC5">
        <w:trPr>
          <w:trHeight w:val="503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Brantley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Emanuel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 xml:space="preserve">Lanier County 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Seminole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Treutlen County</w:t>
            </w:r>
          </w:p>
        </w:tc>
      </w:tr>
      <w:tr w:rsidR="000972A3" w:rsidRPr="00A10C0A" w:rsidTr="000B6759">
        <w:trPr>
          <w:trHeight w:val="485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Brooks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Evans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Laurens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State Charter School – Byron Peach Charter High School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Troup County</w:t>
            </w:r>
          </w:p>
        </w:tc>
      </w:tr>
      <w:tr w:rsidR="000972A3" w:rsidRPr="00A10C0A" w:rsidTr="00BC56AB">
        <w:trPr>
          <w:trHeight w:val="557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Bulloch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Fannin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Lincoln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State Charter School – CCAT School (Bulloch)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Turner County</w:t>
            </w:r>
          </w:p>
        </w:tc>
      </w:tr>
      <w:tr w:rsidR="000972A3" w:rsidRPr="00A10C0A" w:rsidTr="00BC56AB">
        <w:trPr>
          <w:trHeight w:val="530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Burke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Floyd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Long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 xml:space="preserve">State Charter School – </w:t>
            </w:r>
            <w:proofErr w:type="spellStart"/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Pataula</w:t>
            </w:r>
            <w:proofErr w:type="spellEnd"/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 xml:space="preserve"> Charter Academy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Twiggs County</w:t>
            </w:r>
          </w:p>
        </w:tc>
      </w:tr>
      <w:tr w:rsidR="000972A3" w:rsidRPr="00A10C0A" w:rsidTr="00ED2EC5">
        <w:trPr>
          <w:trHeight w:val="638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Calhoun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Franklin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Lowndes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State Schools – Atlanta Area School for the Deaf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Ware County</w:t>
            </w:r>
          </w:p>
        </w:tc>
      </w:tr>
      <w:tr w:rsidR="000972A3" w:rsidRPr="00A10C0A" w:rsidTr="00BC56AB">
        <w:trPr>
          <w:trHeight w:val="422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Candler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Glascock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Macon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State Schools – Georgia Academy for the Blind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Warren County</w:t>
            </w:r>
          </w:p>
        </w:tc>
      </w:tr>
      <w:tr w:rsidR="000972A3" w:rsidRPr="00A10C0A" w:rsidTr="00ED2EC5">
        <w:trPr>
          <w:trHeight w:val="503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Charlton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Gordon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Marion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State Schools – Georgia School for the Deaf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Washington County</w:t>
            </w:r>
          </w:p>
        </w:tc>
      </w:tr>
      <w:tr w:rsidR="000972A3" w:rsidRPr="00A10C0A" w:rsidTr="00ED2EC5">
        <w:trPr>
          <w:trHeight w:val="422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Chattahoochee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Grady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Meriwether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Stephens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Wayne County</w:t>
            </w:r>
          </w:p>
        </w:tc>
      </w:tr>
      <w:tr w:rsidR="000972A3" w:rsidRPr="00A10C0A" w:rsidTr="00ED2EC5">
        <w:trPr>
          <w:trHeight w:val="548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Chattooga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Greene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Mitchell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Stewart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Webster County</w:t>
            </w:r>
          </w:p>
        </w:tc>
      </w:tr>
      <w:tr w:rsidR="000972A3" w:rsidRPr="00A10C0A" w:rsidTr="00ED2EC5">
        <w:trPr>
          <w:trHeight w:val="602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Clay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Habersham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Montgomery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Sumter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Wheeler County</w:t>
            </w:r>
          </w:p>
        </w:tc>
      </w:tr>
      <w:tr w:rsidR="000972A3" w:rsidRPr="00A10C0A" w:rsidTr="00ED2EC5">
        <w:trPr>
          <w:trHeight w:val="548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Clinch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Hancock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Murray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Talbot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Wilcox County</w:t>
            </w:r>
          </w:p>
        </w:tc>
      </w:tr>
      <w:tr w:rsidR="000972A3" w:rsidRPr="00A10C0A" w:rsidTr="000972A3">
        <w:trPr>
          <w:trHeight w:val="557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Coffee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Haralson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Fonts w:ascii="Times New Roman" w:eastAsia="Times New Roman" w:hAnsi="Times New Roman" w:cs="Times New Roman"/>
                <w:noProof/>
              </w:rPr>
              <w:t>Peach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Taliaferro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Wilkes County</w:t>
            </w:r>
          </w:p>
        </w:tc>
      </w:tr>
      <w:tr w:rsidR="000972A3" w:rsidRPr="00A10C0A" w:rsidTr="00ED2EC5">
        <w:trPr>
          <w:trHeight w:val="413"/>
        </w:trPr>
        <w:tc>
          <w:tcPr>
            <w:tcW w:w="1907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Cook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Hart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Pierce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Tattnall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Wilkinson County</w:t>
            </w:r>
          </w:p>
        </w:tc>
      </w:tr>
      <w:tr w:rsidR="000972A3" w:rsidRPr="00A10C0A" w:rsidTr="00ED2EC5">
        <w:trPr>
          <w:trHeight w:val="350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Crisp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Heard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Polk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Taylor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 xml:space="preserve">Worth County </w:t>
            </w:r>
          </w:p>
        </w:tc>
      </w:tr>
      <w:tr w:rsidR="000972A3" w:rsidRPr="00A10C0A" w:rsidTr="00ED2EC5">
        <w:trPr>
          <w:trHeight w:val="350"/>
        </w:trPr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Decatur County</w:t>
            </w:r>
          </w:p>
        </w:tc>
        <w:tc>
          <w:tcPr>
            <w:tcW w:w="1907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 w:rsidRPr="00A10C0A"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Irwin County</w:t>
            </w:r>
          </w:p>
        </w:tc>
        <w:tc>
          <w:tcPr>
            <w:tcW w:w="1671" w:type="dxa"/>
          </w:tcPr>
          <w:p w:rsidR="000972A3" w:rsidRPr="00A10C0A" w:rsidRDefault="000972A3" w:rsidP="000972A3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noProof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t>Pulaski County</w:t>
            </w:r>
          </w:p>
        </w:tc>
        <w:tc>
          <w:tcPr>
            <w:tcW w:w="243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  <w:r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  <w:t>Telfair County</w:t>
            </w:r>
          </w:p>
        </w:tc>
        <w:tc>
          <w:tcPr>
            <w:tcW w:w="1620" w:type="dxa"/>
          </w:tcPr>
          <w:p w:rsidR="000972A3" w:rsidRPr="00A10C0A" w:rsidRDefault="000972A3" w:rsidP="000972A3">
            <w:pPr>
              <w:jc w:val="center"/>
              <w:rPr>
                <w:rStyle w:val="IntenseEmphasis"/>
                <w:rFonts w:ascii="Times New Roman" w:hAnsi="Times New Roman" w:cs="Times New Roman"/>
                <w:b w:val="0"/>
                <w:bCs w:val="0"/>
                <w:caps w:val="0"/>
                <w:color w:val="auto"/>
                <w:shd w:val="clear" w:color="auto" w:fill="FFFFFF"/>
              </w:rPr>
            </w:pPr>
          </w:p>
        </w:tc>
      </w:tr>
    </w:tbl>
    <w:p w:rsidR="00EC0D3D" w:rsidRPr="001F6DCB" w:rsidRDefault="00C2689B" w:rsidP="00BC56AB">
      <w:pPr>
        <w:shd w:val="clear" w:color="auto" w:fill="FFFFFF"/>
        <w:tabs>
          <w:tab w:val="left" w:pos="3945"/>
        </w:tabs>
        <w:spacing w:after="300" w:line="240" w:lineRule="auto"/>
        <w:textAlignment w:val="baseline"/>
        <w:rPr>
          <w:rFonts w:ascii="Verdana" w:eastAsia="Times New Roman" w:hAnsi="Verdana" w:cs="Times New Roman"/>
          <w:color w:val="666666"/>
          <w:sz w:val="20"/>
          <w:szCs w:val="20"/>
        </w:rPr>
      </w:pPr>
    </w:p>
    <w:sectPr w:rsidR="00EC0D3D" w:rsidRPr="001F6DCB" w:rsidSect="00F4069D">
      <w:headerReference w:type="default" r:id="rId8"/>
      <w:pgSz w:w="12240" w:h="15840"/>
      <w:pgMar w:top="144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689B" w:rsidRDefault="00C2689B" w:rsidP="00140E3E">
      <w:pPr>
        <w:spacing w:after="0" w:line="240" w:lineRule="auto"/>
      </w:pPr>
      <w:r>
        <w:separator/>
      </w:r>
    </w:p>
  </w:endnote>
  <w:endnote w:type="continuationSeparator" w:id="0">
    <w:p w:rsidR="00C2689B" w:rsidRDefault="00C2689B" w:rsidP="00140E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689B" w:rsidRDefault="00C2689B" w:rsidP="00140E3E">
      <w:pPr>
        <w:spacing w:after="0" w:line="240" w:lineRule="auto"/>
      </w:pPr>
      <w:r>
        <w:separator/>
      </w:r>
    </w:p>
  </w:footnote>
  <w:footnote w:type="continuationSeparator" w:id="0">
    <w:p w:rsidR="00C2689B" w:rsidRDefault="00C2689B" w:rsidP="00140E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0E3E" w:rsidRDefault="00140E3E">
    <w:pPr>
      <w:pStyle w:val="Header"/>
    </w:pPr>
    <w:r w:rsidRPr="00140E3E">
      <w:rPr>
        <w:noProof/>
      </w:rPr>
      <w:drawing>
        <wp:inline distT="0" distB="0" distL="0" distR="0">
          <wp:extent cx="1755928" cy="514350"/>
          <wp:effectExtent l="0" t="0" r="0" b="0"/>
          <wp:docPr id="2" name="Picture 2" descr="C:\Users\Stacey.Lutz\Picture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Stacey.Lutz\Picture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1994" cy="5161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7636B5B"/>
    <w:multiLevelType w:val="multilevel"/>
    <w:tmpl w:val="7AB6FF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E3E"/>
    <w:rsid w:val="00087CB5"/>
    <w:rsid w:val="000972A3"/>
    <w:rsid w:val="000B6759"/>
    <w:rsid w:val="00125746"/>
    <w:rsid w:val="00140E3E"/>
    <w:rsid w:val="001B2EB7"/>
    <w:rsid w:val="001F6DCB"/>
    <w:rsid w:val="005F5399"/>
    <w:rsid w:val="00612CA5"/>
    <w:rsid w:val="00653B68"/>
    <w:rsid w:val="00657921"/>
    <w:rsid w:val="006E55E6"/>
    <w:rsid w:val="00722755"/>
    <w:rsid w:val="007567DB"/>
    <w:rsid w:val="008E34D6"/>
    <w:rsid w:val="00A10C0A"/>
    <w:rsid w:val="00A91C91"/>
    <w:rsid w:val="00AD14D2"/>
    <w:rsid w:val="00AF0E22"/>
    <w:rsid w:val="00B36830"/>
    <w:rsid w:val="00BA0D64"/>
    <w:rsid w:val="00BC56AB"/>
    <w:rsid w:val="00C2689B"/>
    <w:rsid w:val="00CD05EF"/>
    <w:rsid w:val="00D8743C"/>
    <w:rsid w:val="00ED2EC5"/>
    <w:rsid w:val="00F23E88"/>
    <w:rsid w:val="00F40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64716C1-4419-4B52-A69B-A1B0EB70FB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140E3E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140E3E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Strong">
    <w:name w:val="Strong"/>
    <w:basedOn w:val="DefaultParagraphFont"/>
    <w:uiPriority w:val="22"/>
    <w:qFormat/>
    <w:rsid w:val="00140E3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140E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140E3E"/>
  </w:style>
  <w:style w:type="character" w:styleId="Hyperlink">
    <w:name w:val="Hyperlink"/>
    <w:basedOn w:val="DefaultParagraphFont"/>
    <w:uiPriority w:val="99"/>
    <w:semiHidden/>
    <w:unhideWhenUsed/>
    <w:rsid w:val="00140E3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40E3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4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0E3E"/>
  </w:style>
  <w:style w:type="paragraph" w:styleId="Footer">
    <w:name w:val="footer"/>
    <w:basedOn w:val="Normal"/>
    <w:link w:val="FooterChar"/>
    <w:uiPriority w:val="99"/>
    <w:unhideWhenUsed/>
    <w:rsid w:val="00140E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0E3E"/>
  </w:style>
  <w:style w:type="character" w:styleId="IntenseEmphasis">
    <w:name w:val="Intense Emphasis"/>
    <w:uiPriority w:val="21"/>
    <w:qFormat/>
    <w:rsid w:val="001F6DCB"/>
    <w:rPr>
      <w:b/>
      <w:bCs/>
      <w:caps/>
      <w:color w:val="1F4D78" w:themeColor="accent1" w:themeShade="7F"/>
      <w:spacing w:val="10"/>
    </w:rPr>
  </w:style>
  <w:style w:type="table" w:styleId="TableGrid">
    <w:name w:val="Table Grid"/>
    <w:basedOn w:val="TableNormal"/>
    <w:uiPriority w:val="39"/>
    <w:rsid w:val="006579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E55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55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7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35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5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2</Pages>
  <Words>413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Stacey Lutz</dc:creator>
  <cp:keywords/>
  <dc:description/>
  <cp:lastModifiedBy>Stacey Lutz</cp:lastModifiedBy>
  <cp:revision>6</cp:revision>
  <cp:lastPrinted>2017-02-01T16:55:00Z</cp:lastPrinted>
  <dcterms:created xsi:type="dcterms:W3CDTF">2017-01-17T18:08:00Z</dcterms:created>
  <dcterms:modified xsi:type="dcterms:W3CDTF">2017-02-01T19:13:00Z</dcterms:modified>
</cp:coreProperties>
</file>